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811" w:rsidRDefault="00270811" w:rsidP="00270811">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 xml:space="preserve">Patient Reported Outcomes: Demographics Affect </w:t>
      </w:r>
      <w:proofErr w:type="gramStart"/>
      <w:r>
        <w:rPr>
          <w:rFonts w:ascii="Times New Roman" w:hAnsi="Times New Roman" w:cs="Times New Roman"/>
          <w:sz w:val="24"/>
          <w:szCs w:val="24"/>
        </w:rPr>
        <w:t>On</w:t>
      </w:r>
      <w:proofErr w:type="gramEnd"/>
      <w:r>
        <w:rPr>
          <w:rFonts w:ascii="Times New Roman" w:hAnsi="Times New Roman" w:cs="Times New Roman"/>
          <w:sz w:val="24"/>
          <w:szCs w:val="24"/>
        </w:rPr>
        <w:t xml:space="preserve"> Post TKA Follow Up </w:t>
      </w:r>
    </w:p>
    <w:p w:rsidR="00270811" w:rsidRDefault="00270811" w:rsidP="00270811">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 xml:space="preserve">Stuart </w:t>
      </w:r>
      <w:proofErr w:type="spellStart"/>
      <w:r>
        <w:rPr>
          <w:rFonts w:ascii="Times New Roman" w:hAnsi="Times New Roman" w:cs="Times New Roman"/>
          <w:sz w:val="24"/>
          <w:szCs w:val="24"/>
        </w:rPr>
        <w:t>Schexnayder</w:t>
      </w:r>
      <w:proofErr w:type="spellEnd"/>
      <w:r>
        <w:rPr>
          <w:rFonts w:ascii="Times New Roman" w:hAnsi="Times New Roman" w:cs="Times New Roman"/>
          <w:sz w:val="24"/>
          <w:szCs w:val="24"/>
        </w:rPr>
        <w:t xml:space="preserve">, Linus </w:t>
      </w:r>
      <w:proofErr w:type="spellStart"/>
      <w:r>
        <w:rPr>
          <w:rFonts w:ascii="Times New Roman" w:hAnsi="Times New Roman" w:cs="Times New Roman"/>
          <w:sz w:val="24"/>
          <w:szCs w:val="24"/>
        </w:rPr>
        <w:t>Igbokwe</w:t>
      </w:r>
      <w:proofErr w:type="spellEnd"/>
      <w:r>
        <w:rPr>
          <w:rFonts w:ascii="Times New Roman" w:hAnsi="Times New Roman" w:cs="Times New Roman"/>
          <w:sz w:val="24"/>
          <w:szCs w:val="24"/>
        </w:rPr>
        <w:t xml:space="preserve">, Hunter Arnaud and Lyndsey </w:t>
      </w:r>
      <w:proofErr w:type="spellStart"/>
      <w:r>
        <w:rPr>
          <w:rFonts w:ascii="Times New Roman" w:hAnsi="Times New Roman" w:cs="Times New Roman"/>
          <w:sz w:val="24"/>
          <w:szCs w:val="24"/>
        </w:rPr>
        <w:t>Schexnayder</w:t>
      </w:r>
      <w:proofErr w:type="spellEnd"/>
    </w:p>
    <w:p w:rsidR="00270811" w:rsidRPr="0049221D" w:rsidRDefault="00270811" w:rsidP="00270811">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 xml:space="preserve">Vinod </w:t>
      </w:r>
      <w:proofErr w:type="spellStart"/>
      <w:r>
        <w:rPr>
          <w:rFonts w:ascii="Times New Roman" w:hAnsi="Times New Roman" w:cs="Times New Roman"/>
          <w:sz w:val="24"/>
          <w:szCs w:val="24"/>
        </w:rPr>
        <w:t>Dasa</w:t>
      </w:r>
      <w:proofErr w:type="spellEnd"/>
      <w:r>
        <w:rPr>
          <w:rFonts w:ascii="Times New Roman" w:hAnsi="Times New Roman" w:cs="Times New Roman"/>
          <w:sz w:val="24"/>
          <w:szCs w:val="24"/>
        </w:rPr>
        <w:t>, MD</w:t>
      </w:r>
    </w:p>
    <w:p w:rsidR="00270811" w:rsidRDefault="00270811" w:rsidP="00270811">
      <w:pPr>
        <w:spacing w:line="480" w:lineRule="auto"/>
        <w:ind w:firstLine="720"/>
        <w:jc w:val="center"/>
        <w:rPr>
          <w:rFonts w:ascii="Times New Roman" w:hAnsi="Times New Roman" w:cs="Times New Roman"/>
          <w:sz w:val="24"/>
          <w:szCs w:val="24"/>
        </w:rPr>
      </w:pPr>
      <w:r w:rsidRPr="0049221D">
        <w:rPr>
          <w:rFonts w:ascii="Times New Roman" w:hAnsi="Times New Roman" w:cs="Times New Roman"/>
          <w:sz w:val="24"/>
          <w:szCs w:val="24"/>
        </w:rPr>
        <w:t>LSUHSC New Orleans: Orthopedic Department</w:t>
      </w:r>
    </w:p>
    <w:p w:rsidR="00270811" w:rsidRDefault="00270811" w:rsidP="00270811">
      <w:pPr>
        <w:pageBreakBefore/>
      </w:pPr>
    </w:p>
    <w:p w:rsidR="00660396" w:rsidRDefault="00660396" w:rsidP="00660396">
      <w:r>
        <w:t xml:space="preserve">In an effort to improve quality while decreasing cost, bundled payments have garnered increasing attention (citations to include CABG, </w:t>
      </w:r>
      <w:proofErr w:type="spellStart"/>
      <w:r>
        <w:t>ortho</w:t>
      </w:r>
      <w:proofErr w:type="spellEnd"/>
      <w:r>
        <w:t xml:space="preserve">, </w:t>
      </w:r>
      <w:proofErr w:type="spellStart"/>
      <w:r>
        <w:t>etc</w:t>
      </w:r>
      <w:proofErr w:type="spellEnd"/>
      <w:r>
        <w:t xml:space="preserve">).  Medicare and Medicaid Services (CMS) have furthers implemented the CMMI Comprehensive Care for Joint Replacement Model (CJR) with the goal of incentivizing high value care through episode-based payments for lower extremity joint replacement. The CJR purposefully selected hospitals that will collect two quality measures plus voluntary reporting of Patient Reported Outcome (PRO) data following Total Knee Arthroplasty (TKA) and Total Hip Arthroplasty (THA). These three measures of quality may be used to determine payments under future bundled payment models.  Under the CJR model, PRO data is to be collected at 90 to 0 days before surgery and 270 to 365 days after surgery. If patient satisfaction at these later dates affects payment in the future, then follow up rates should be considered. There exists, however, relatively little data evaluating follow up rates after TKA or THA.  </w:t>
      </w:r>
    </w:p>
    <w:p w:rsidR="008A5CD4" w:rsidRDefault="00660396" w:rsidP="00660396">
      <w:r>
        <w:t xml:space="preserve">One study we did find by </w:t>
      </w:r>
      <w:proofErr w:type="spellStart"/>
      <w:r>
        <w:t>Clohisy</w:t>
      </w:r>
      <w:proofErr w:type="spellEnd"/>
      <w:r>
        <w:t xml:space="preserve"> JC1, et al. found the overall rate of follow-up compliance after total knee arthroplasty was 63%. Research on follow up has been done in other areas of orthopedics that may give insight to demographic effects on follow up. Potential differences in follow-up rates have been attributed to race, gender, illici</w:t>
      </w:r>
      <w:r>
        <w:t>t drug use, insurance status.</w:t>
      </w:r>
      <w:bookmarkStart w:id="0" w:name="_GoBack"/>
      <w:bookmarkEnd w:id="0"/>
    </w:p>
    <w:p w:rsidR="00660396" w:rsidRDefault="00660396" w:rsidP="00660396">
      <w:proofErr w:type="spellStart"/>
      <w:r w:rsidRPr="00660396">
        <w:t>Zelle</w:t>
      </w:r>
      <w:proofErr w:type="spellEnd"/>
      <w:r w:rsidRPr="00660396">
        <w:t xml:space="preserve"> BA et al. found that patients who were male gender, smoker, lack of commercial health insurance, and illicit drug abuse were less likely to follow up in clinic at six months following trauma</w:t>
      </w:r>
      <w:proofErr w:type="gramStart"/>
      <w:r w:rsidRPr="00660396">
        <w:t>.(</w:t>
      </w:r>
      <w:proofErr w:type="gramEnd"/>
      <w:r w:rsidRPr="00660396">
        <w:t xml:space="preserve">1) Another study looking at follow up for trauma patients with displaced intra-articular calcaneal fractures by </w:t>
      </w:r>
      <w:proofErr w:type="spellStart"/>
      <w:r w:rsidRPr="00660396">
        <w:t>Murnaghan</w:t>
      </w:r>
      <w:proofErr w:type="spellEnd"/>
      <w:r w:rsidRPr="00660396">
        <w:t xml:space="preserve"> ML and Buckley RE. </w:t>
      </w:r>
      <w:proofErr w:type="spellStart"/>
      <w:r w:rsidRPr="00660396">
        <w:t>ed</w:t>
      </w:r>
      <w:proofErr w:type="spellEnd"/>
      <w:r w:rsidRPr="00660396">
        <w:t xml:space="preserve"> found that patients young age(36.1 vs 40.1 years old), aboriginal descent, and lower educational level were less likely to follow up at two years.(2) They also noted almost half of the patients that did not follow up had a history of alcohol abuse. Also, these who did not follow up had a higher percentage of past history of psychiatric admission and incarceration than those who did follow up. It has been shown that demographic variables affect follow up rates in patients who are treated in the outpatient setting as well. ten Berg PWL and Ring D. found that patients who were of unmarried status (single or divorced), having no insurance, having an unemployed or disabled status, having an unknown work status were less likely to follow up at their 1 month visit following treatment of metacarpal fractures (3). Some studies have suggested distance from follow up clinic to play a role in missed visits but </w:t>
      </w:r>
      <w:proofErr w:type="spellStart"/>
      <w:r w:rsidRPr="00660396">
        <w:t>Zelle</w:t>
      </w:r>
      <w:proofErr w:type="spellEnd"/>
      <w:r w:rsidRPr="00660396">
        <w:t xml:space="preserve"> BA et al. study did not. (1) </w:t>
      </w:r>
      <w:proofErr w:type="spellStart"/>
      <w:r w:rsidRPr="00660396">
        <w:t>Clohisy</w:t>
      </w:r>
      <w:proofErr w:type="spellEnd"/>
      <w:r w:rsidRPr="00660396">
        <w:t xml:space="preserve"> JC1, et al. found at one-year, a lower body mass index and those who lived with in ﬁfty miles of their center were signiﬁcantly more likely to return for follow-up at one year. For THA one-year follow-up was higher in white race (p= 0.009) and better preoperative Harris hip score for gait. For TKA, they found the female gender to be positively associated with compliance, and that being overweight was a negative predictor of compliance. Carlos J. </w:t>
      </w:r>
      <w:proofErr w:type="spellStart"/>
      <w:r w:rsidRPr="00660396">
        <w:t>Lavernia</w:t>
      </w:r>
      <w:proofErr w:type="spellEnd"/>
      <w:r w:rsidRPr="00660396">
        <w:t xml:space="preserve"> MD et al. only used patients in their study that had a minimum of one year follow up (5). Only 37% of African Americans met the one year minimum in comparison of 64% of Caucasian patients. This is not what they were initially studying, but it raised the question of race being a demographic factor affecting follow up. Overall, if payments will be affected by PRO’s, then patients whose demographics lend them to be less likely to follow up will affect physician pay and should be considered beforehand.  Also if certain demographics are not as likely to comply with follow up, hospitals could also consider strategies to improve patient engagement. In this study we want to look at sex, race, age, BMI, pain/function scores, and insurance status effect on follow up following TKA.</w:t>
      </w:r>
    </w:p>
    <w:p w:rsidR="00660396" w:rsidRDefault="00660396" w:rsidP="00D8762D"/>
    <w:p w:rsidR="008A5CD4" w:rsidRDefault="008A5CD4" w:rsidP="00D8762D">
      <w:r>
        <w:lastRenderedPageBreak/>
        <w:t>CITATIONS</w:t>
      </w:r>
    </w:p>
    <w:p w:rsidR="008A5CD4" w:rsidRDefault="008A5CD4" w:rsidP="008A5CD4">
      <w:pPr>
        <w:pStyle w:val="ListParagraph"/>
        <w:numPr>
          <w:ilvl w:val="0"/>
          <w:numId w:val="1"/>
        </w:numPr>
      </w:pPr>
      <w:r w:rsidRPr="008A5CD4">
        <w:t xml:space="preserve">Loss of Follow-up in </w:t>
      </w:r>
      <w:proofErr w:type="spellStart"/>
      <w:r w:rsidRPr="008A5CD4">
        <w:t>Orthopaedic</w:t>
      </w:r>
      <w:proofErr w:type="spellEnd"/>
      <w:r w:rsidRPr="008A5CD4">
        <w:t xml:space="preserve"> Trauma: Who Is Getting Lost to Follow-up? </w:t>
      </w:r>
      <w:proofErr w:type="spellStart"/>
      <w:r w:rsidRPr="008A5CD4">
        <w:t>Zelle</w:t>
      </w:r>
      <w:proofErr w:type="spellEnd"/>
      <w:r w:rsidRPr="008A5CD4">
        <w:t xml:space="preserve"> BA et al. J </w:t>
      </w:r>
      <w:proofErr w:type="spellStart"/>
      <w:r w:rsidRPr="008A5CD4">
        <w:t>Orthop</w:t>
      </w:r>
      <w:proofErr w:type="spellEnd"/>
      <w:r w:rsidRPr="008A5CD4">
        <w:t xml:space="preserve"> Trauma. (2015)</w:t>
      </w:r>
    </w:p>
    <w:p w:rsidR="008A5CD4" w:rsidRDefault="008A5CD4" w:rsidP="008A5CD4">
      <w:pPr>
        <w:pStyle w:val="ListParagraph"/>
        <w:numPr>
          <w:ilvl w:val="0"/>
          <w:numId w:val="1"/>
        </w:numPr>
      </w:pPr>
      <w:proofErr w:type="spellStart"/>
      <w:r>
        <w:t>Murnaghan</w:t>
      </w:r>
      <w:proofErr w:type="spellEnd"/>
      <w:r>
        <w:t xml:space="preserve"> ML, Buckley RE. Lost but not forgotten: patients lost to follow-up in a trauma database. Can J Surg. 2002</w:t>
      </w:r>
      <w:proofErr w:type="gramStart"/>
      <w:r>
        <w:t>;45</w:t>
      </w:r>
      <w:proofErr w:type="gramEnd"/>
      <w:r>
        <w:t>;191–195.</w:t>
      </w:r>
    </w:p>
    <w:p w:rsidR="008A5CD4" w:rsidRDefault="008A5CD4" w:rsidP="008A5CD4">
      <w:pPr>
        <w:pStyle w:val="ListParagraph"/>
        <w:numPr>
          <w:ilvl w:val="0"/>
          <w:numId w:val="1"/>
        </w:numPr>
      </w:pPr>
      <w:proofErr w:type="gramStart"/>
      <w:r>
        <w:t>ten</w:t>
      </w:r>
      <w:proofErr w:type="gramEnd"/>
      <w:r>
        <w:t xml:space="preserve"> Berg PWL, Ring D. Patients lost to follow-up after metacarpal fractures. J Hand </w:t>
      </w:r>
      <w:proofErr w:type="spellStart"/>
      <w:r>
        <w:t>Surg</w:t>
      </w:r>
      <w:proofErr w:type="spellEnd"/>
      <w:r>
        <w:t xml:space="preserve"> Am. 2012</w:t>
      </w:r>
      <w:proofErr w:type="gramStart"/>
      <w:r>
        <w:t>;27:42</w:t>
      </w:r>
      <w:proofErr w:type="gramEnd"/>
      <w:r>
        <w:t>–46.</w:t>
      </w:r>
    </w:p>
    <w:p w:rsidR="00B01046" w:rsidRDefault="00B01046" w:rsidP="00B01046">
      <w:pPr>
        <w:pStyle w:val="ListParagraph"/>
        <w:numPr>
          <w:ilvl w:val="0"/>
          <w:numId w:val="1"/>
        </w:numPr>
      </w:pPr>
      <w:r>
        <w:t xml:space="preserve">Patient compliance with clinical follow-up after total joint arthroplasty. </w:t>
      </w:r>
      <w:proofErr w:type="spellStart"/>
      <w:r>
        <w:t>Clohisy</w:t>
      </w:r>
      <w:proofErr w:type="spellEnd"/>
      <w:r>
        <w:t xml:space="preserve"> JC1, Kamath GV, Byrd GD, Steger-May K, Wright RW.</w:t>
      </w:r>
      <w:r w:rsidRPr="00B01046">
        <w:t xml:space="preserve"> J Bone Joint </w:t>
      </w:r>
      <w:proofErr w:type="spellStart"/>
      <w:r w:rsidRPr="00B01046">
        <w:t>Surg</w:t>
      </w:r>
      <w:proofErr w:type="spellEnd"/>
      <w:r w:rsidRPr="00B01046">
        <w:t xml:space="preserve"> Am. 2008 Sep</w:t>
      </w:r>
      <w:proofErr w:type="gramStart"/>
      <w:r w:rsidRPr="00B01046">
        <w:t>;90</w:t>
      </w:r>
      <w:proofErr w:type="gramEnd"/>
      <w:r w:rsidRPr="00B01046">
        <w:t xml:space="preserve">(9):1848-54. </w:t>
      </w:r>
      <w:proofErr w:type="spellStart"/>
      <w:r w:rsidRPr="00B01046">
        <w:t>doi</w:t>
      </w:r>
      <w:proofErr w:type="spellEnd"/>
      <w:r w:rsidRPr="00B01046">
        <w:t>: 10.2106/JBJS.G.00856</w:t>
      </w:r>
    </w:p>
    <w:p w:rsidR="00B01046" w:rsidRDefault="006C36C1" w:rsidP="005D666B">
      <w:pPr>
        <w:pStyle w:val="ListParagraph"/>
        <w:numPr>
          <w:ilvl w:val="0"/>
          <w:numId w:val="1"/>
        </w:numPr>
      </w:pPr>
      <w:r w:rsidRPr="006C36C1">
        <w:t>Does Race Affect Outcomes in Total Joint Arthroplasty?</w:t>
      </w:r>
      <w:r>
        <w:t xml:space="preserve"> </w:t>
      </w:r>
      <w:r w:rsidRPr="006C36C1">
        <w:t xml:space="preserve">Carlos J. </w:t>
      </w:r>
      <w:proofErr w:type="spellStart"/>
      <w:r w:rsidRPr="006C36C1">
        <w:t>Lavernia</w:t>
      </w:r>
      <w:proofErr w:type="spellEnd"/>
      <w:r w:rsidRPr="006C36C1">
        <w:t xml:space="preserve"> MD, Jesus M. Villa MD</w:t>
      </w:r>
      <w:r>
        <w:t xml:space="preserve"> </w:t>
      </w:r>
      <w:proofErr w:type="spellStart"/>
      <w:r>
        <w:t>Clin</w:t>
      </w:r>
      <w:proofErr w:type="spellEnd"/>
      <w:r>
        <w:t xml:space="preserve"> </w:t>
      </w:r>
      <w:proofErr w:type="spellStart"/>
      <w:r>
        <w:t>Orthop</w:t>
      </w:r>
      <w:proofErr w:type="spellEnd"/>
      <w:r>
        <w:t xml:space="preserve"> </w:t>
      </w:r>
      <w:proofErr w:type="spellStart"/>
      <w:r>
        <w:t>Relat</w:t>
      </w:r>
      <w:proofErr w:type="spellEnd"/>
      <w:r>
        <w:t xml:space="preserve"> Res (2015) 473:3535–3541</w:t>
      </w:r>
    </w:p>
    <w:sectPr w:rsidR="00B01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1635D"/>
    <w:multiLevelType w:val="hybridMultilevel"/>
    <w:tmpl w:val="FDAE9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62D"/>
    <w:rsid w:val="002171F0"/>
    <w:rsid w:val="00270811"/>
    <w:rsid w:val="00381CCC"/>
    <w:rsid w:val="003E02EC"/>
    <w:rsid w:val="005D666B"/>
    <w:rsid w:val="00660396"/>
    <w:rsid w:val="006C36C1"/>
    <w:rsid w:val="00850C8E"/>
    <w:rsid w:val="008A5CD4"/>
    <w:rsid w:val="00A948DF"/>
    <w:rsid w:val="00B01046"/>
    <w:rsid w:val="00BF2C19"/>
    <w:rsid w:val="00C21F4A"/>
    <w:rsid w:val="00D8762D"/>
    <w:rsid w:val="00FB7FC0"/>
    <w:rsid w:val="00FC5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656D0E-C388-4D6C-9A8B-06E21E53D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C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Schexnayder, Stuart P.</dc:creator>
  <cp:keywords/>
  <dc:description/>
  <cp:lastModifiedBy>Schexnayder, Stuart P.</cp:lastModifiedBy>
  <cp:revision>2</cp:revision>
  <dcterms:created xsi:type="dcterms:W3CDTF">2016-12-05T00:56:00Z</dcterms:created>
  <dcterms:modified xsi:type="dcterms:W3CDTF">2016-12-05T00:56:00Z</dcterms:modified>
</cp:coreProperties>
</file>